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26" w:rsidRDefault="00F20526" w:rsidP="00F20526">
      <w:pPr>
        <w:ind w:left="360" w:right="84" w:firstLine="348"/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>Міська цільова програма «</w:t>
      </w:r>
      <w:r>
        <w:rPr>
          <w:lang w:val="uk-UA"/>
        </w:rPr>
        <w:t>Забезпечення надійного та безперебійного функціонування житлово-експлуатаційного господарства  м. Ніжина на 2018 рік</w:t>
      </w:r>
      <w:r>
        <w:rPr>
          <w:b/>
          <w:bCs/>
          <w:lang w:val="uk-UA"/>
        </w:rPr>
        <w:t>»</w:t>
      </w:r>
    </w:p>
    <w:p w:rsidR="00F20526" w:rsidRDefault="00F20526" w:rsidP="00F20526">
      <w:pPr>
        <w:ind w:left="360" w:right="84" w:firstLine="348"/>
        <w:jc w:val="both"/>
        <w:outlineLvl w:val="0"/>
        <w:rPr>
          <w:bCs/>
          <w:lang w:val="uk-UA"/>
        </w:rPr>
      </w:pPr>
      <w:r>
        <w:rPr>
          <w:b/>
          <w:bCs/>
          <w:lang w:val="uk-UA"/>
        </w:rPr>
        <w:t>1. Паспорт міської цільової програми «</w:t>
      </w:r>
      <w:r>
        <w:rPr>
          <w:lang w:val="uk-UA"/>
        </w:rPr>
        <w:t xml:space="preserve">Забезпечення надійного та безперебійного функціонування житлово-експлуатаційного господарства м. Ніжина </w:t>
      </w:r>
      <w:r>
        <w:rPr>
          <w:b/>
          <w:bCs/>
          <w:lang w:val="uk-UA"/>
        </w:rPr>
        <w:t xml:space="preserve"> </w:t>
      </w:r>
      <w:r>
        <w:rPr>
          <w:bCs/>
          <w:lang w:val="uk-UA"/>
        </w:rPr>
        <w:t>на 2018р.»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4103"/>
        <w:gridCol w:w="4901"/>
      </w:tblGrid>
      <w:tr w:rsidR="00F20526" w:rsidRP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Ініціатор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Ніжинської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міської</w:t>
            </w:r>
            <w:proofErr w:type="spellEnd"/>
            <w:r>
              <w:rPr>
                <w:lang w:val="uk-UA"/>
              </w:rPr>
              <w:t xml:space="preserve"> </w:t>
            </w:r>
            <w:r>
              <w:t>ради</w:t>
            </w:r>
          </w:p>
        </w:tc>
      </w:tr>
      <w:tr w:rsidR="00F20526" w:rsidRP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 xml:space="preserve">Дата, номер і </w:t>
            </w:r>
            <w:proofErr w:type="spellStart"/>
            <w:r>
              <w:t>назва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розпорядчого</w:t>
            </w:r>
            <w:proofErr w:type="spellEnd"/>
            <w:r>
              <w:t xml:space="preserve"> документа органу </w:t>
            </w:r>
            <w:proofErr w:type="spellStart"/>
            <w:r>
              <w:t>виконавчої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про </w:t>
            </w:r>
            <w:proofErr w:type="spellStart"/>
            <w:r>
              <w:t>розроблення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Закони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“Про </w:t>
            </w:r>
            <w:proofErr w:type="spellStart"/>
            <w:r>
              <w:t>місцеве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самоврядування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>”, «</w:t>
            </w:r>
            <w:r>
              <w:rPr>
                <w:lang w:val="uk-UA"/>
              </w:rPr>
              <w:t>Про житлово-комунальні послуги</w:t>
            </w:r>
            <w:r>
              <w:t>»</w:t>
            </w:r>
          </w:p>
        </w:tc>
      </w:tr>
      <w:tr w:rsidR="00F20526" w:rsidRP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Розробник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Ніжинської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міської</w:t>
            </w:r>
            <w:proofErr w:type="spellEnd"/>
            <w:r>
              <w:rPr>
                <w:lang w:val="uk-UA"/>
              </w:rPr>
              <w:t xml:space="preserve"> </w:t>
            </w:r>
            <w:r>
              <w:t>ради</w:t>
            </w:r>
          </w:p>
        </w:tc>
      </w:tr>
      <w:tr w:rsid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4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Співрозробники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 xml:space="preserve"> КП «Служба </w:t>
            </w:r>
            <w:proofErr w:type="spellStart"/>
            <w:r>
              <w:t>Єдиного</w:t>
            </w:r>
            <w:proofErr w:type="spellEnd"/>
            <w:r>
              <w:t xml:space="preserve"> </w:t>
            </w:r>
            <w:proofErr w:type="spellStart"/>
            <w:r>
              <w:t>Замовника</w:t>
            </w:r>
            <w:proofErr w:type="spellEnd"/>
            <w:r>
              <w:t>»</w:t>
            </w:r>
          </w:p>
        </w:tc>
      </w:tr>
      <w:tr w:rsidR="00F20526" w:rsidRP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5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Замовник</w:t>
            </w:r>
            <w:proofErr w:type="spellEnd"/>
            <w:r>
              <w:t xml:space="preserve"> (</w:t>
            </w:r>
            <w:proofErr w:type="spellStart"/>
            <w:r>
              <w:t>відповідальний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виконавець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  <w:r>
              <w:t>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</w:p>
        </w:tc>
      </w:tr>
      <w:tr w:rsidR="00F20526" w:rsidTr="00F20526">
        <w:trPr>
          <w:trHeight w:val="13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6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Учасники</w:t>
            </w:r>
            <w:proofErr w:type="spellEnd"/>
            <w:r>
              <w:t xml:space="preserve"> (</w:t>
            </w:r>
            <w:proofErr w:type="spellStart"/>
            <w:r>
              <w:t>співвиконавці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  <w:r>
              <w:t>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КП «Служба Єдиного Замовника»</w:t>
            </w:r>
          </w:p>
        </w:tc>
      </w:tr>
      <w:tr w:rsid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7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Термін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реалізації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2018р.</w:t>
            </w:r>
          </w:p>
        </w:tc>
      </w:tr>
      <w:tr w:rsid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8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Перелік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місцевих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беруть</w:t>
            </w:r>
            <w:proofErr w:type="spellEnd"/>
            <w:r>
              <w:t xml:space="preserve"> участь у </w:t>
            </w:r>
            <w:proofErr w:type="spellStart"/>
            <w:r>
              <w:t>виконанні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(для </w:t>
            </w:r>
            <w:proofErr w:type="spellStart"/>
            <w:r>
              <w:t>комплексних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</w:t>
            </w:r>
            <w:proofErr w:type="spellEnd"/>
            <w:r>
              <w:t>)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Міський</w:t>
            </w:r>
            <w:proofErr w:type="spellEnd"/>
            <w:r>
              <w:t xml:space="preserve"> бюджет </w:t>
            </w:r>
            <w:proofErr w:type="spellStart"/>
            <w:r>
              <w:t>міста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Ніжина</w:t>
            </w:r>
            <w:proofErr w:type="spellEnd"/>
          </w:p>
        </w:tc>
      </w:tr>
      <w:tr w:rsid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t>9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Загальний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обсяг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фінансових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rPr>
                <w:lang w:val="uk-UA"/>
              </w:rPr>
              <w:t xml:space="preserve"> </w:t>
            </w:r>
            <w:r>
              <w:t>для</w:t>
            </w:r>
            <w:r>
              <w:rPr>
                <w:lang w:val="uk-UA"/>
              </w:rPr>
              <w:t xml:space="preserve"> </w:t>
            </w:r>
            <w:proofErr w:type="spellStart"/>
            <w:r>
              <w:t>реалізації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всього</w:t>
            </w:r>
            <w:proofErr w:type="spellEnd"/>
            <w:r>
              <w:t xml:space="preserve">, </w:t>
            </w:r>
            <w:proofErr w:type="spellStart"/>
            <w:r>
              <w:t>утомучислі</w:t>
            </w:r>
            <w:proofErr w:type="spellEnd"/>
            <w:r>
              <w:t>: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562,0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</w:tr>
      <w:tr w:rsid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9.1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коштів</w:t>
            </w:r>
            <w:proofErr w:type="spellEnd"/>
            <w:r>
              <w:t xml:space="preserve"> бюджету </w:t>
            </w:r>
            <w:proofErr w:type="spellStart"/>
            <w:r>
              <w:t>м.Ніжина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562,0 </w:t>
            </w:r>
            <w:proofErr w:type="spellStart"/>
            <w:r>
              <w:rPr>
                <w:lang w:val="uk-UA"/>
              </w:rPr>
              <w:t>тис.грн</w:t>
            </w:r>
            <w:proofErr w:type="spellEnd"/>
          </w:p>
        </w:tc>
      </w:tr>
      <w:tr w:rsid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9.2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коштів державного бюджету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26" w:rsidRDefault="00F20526">
            <w:pPr>
              <w:jc w:val="both"/>
              <w:rPr>
                <w:lang w:val="uk-UA"/>
              </w:rPr>
            </w:pPr>
          </w:p>
        </w:tc>
      </w:tr>
      <w:tr w:rsidR="00F20526" w:rsidTr="00F205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9.3</w:t>
            </w:r>
          </w:p>
        </w:tc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>
            <w:pPr>
              <w:jc w:val="both"/>
            </w:pPr>
            <w:r>
              <w:rPr>
                <w:lang w:val="uk-UA"/>
              </w:rPr>
              <w:t>к</w:t>
            </w:r>
            <w:proofErr w:type="spellStart"/>
            <w:r>
              <w:t>оштів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інших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джерел</w:t>
            </w:r>
            <w:proofErr w:type="spellEnd"/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26" w:rsidRDefault="00F20526"/>
        </w:tc>
      </w:tr>
    </w:tbl>
    <w:p w:rsidR="00F20526" w:rsidRDefault="00F20526" w:rsidP="00F20526">
      <w:pPr>
        <w:jc w:val="both"/>
        <w:rPr>
          <w:b/>
          <w:bCs/>
          <w:lang w:val="uk-UA"/>
        </w:rPr>
      </w:pPr>
      <w:r>
        <w:rPr>
          <w:b/>
          <w:bCs/>
        </w:rPr>
        <w:t xml:space="preserve">2. </w:t>
      </w:r>
      <w:proofErr w:type="spellStart"/>
      <w:r>
        <w:rPr>
          <w:b/>
          <w:bCs/>
        </w:rPr>
        <w:t>Проблеми</w:t>
      </w:r>
      <w:proofErr w:type="spellEnd"/>
      <w:r>
        <w:rPr>
          <w:b/>
          <w:bCs/>
        </w:rPr>
        <w:t xml:space="preserve">, на </w:t>
      </w:r>
      <w:proofErr w:type="spellStart"/>
      <w:r>
        <w:rPr>
          <w:b/>
          <w:bCs/>
        </w:rPr>
        <w:t>розв’язання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яких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спрямована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програма</w:t>
      </w:r>
      <w:proofErr w:type="spellEnd"/>
    </w:p>
    <w:p w:rsidR="00F20526" w:rsidRDefault="00F20526" w:rsidP="00F20526">
      <w:pPr>
        <w:shd w:val="clear" w:color="auto" w:fill="FFFFFF"/>
        <w:ind w:firstLine="708"/>
        <w:jc w:val="both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Відповідно до Порядку формування тарифів на послуги з утримання будинків і споруд та прибудинкових територій (далі Порядок), затвердженого постановою Кабінету Міністрів України від 01.06.2011 р. № 869 (із змінами) до тарифу на послуги з утримання будинків і споруд та прибудинкових територій включена послуга з технічного обслуговування та поточного ремонту </w:t>
      </w:r>
      <w:proofErr w:type="spellStart"/>
      <w:r>
        <w:rPr>
          <w:color w:val="222222"/>
          <w:shd w:val="clear" w:color="auto" w:fill="FFFFFF"/>
          <w:lang w:val="uk-UA"/>
        </w:rPr>
        <w:t>внутрішньобудинкових</w:t>
      </w:r>
      <w:proofErr w:type="spellEnd"/>
      <w:r>
        <w:rPr>
          <w:color w:val="222222"/>
          <w:shd w:val="clear" w:color="auto" w:fill="FFFFFF"/>
          <w:lang w:val="uk-UA"/>
        </w:rPr>
        <w:t xml:space="preserve"> електричних мереж в частині лише тих мереж, які необхідні для енергозабезпечення будинку на технічні цілі (освітлення місць загального користування, енергопостачання ліфтів). Витрати на поточний ремонт та технічне обслуговування </w:t>
      </w:r>
      <w:proofErr w:type="spellStart"/>
      <w:r>
        <w:rPr>
          <w:color w:val="222222"/>
          <w:shd w:val="clear" w:color="auto" w:fill="FFFFFF"/>
          <w:lang w:val="uk-UA"/>
        </w:rPr>
        <w:t>внутрішньобудинкових</w:t>
      </w:r>
      <w:proofErr w:type="spellEnd"/>
      <w:r>
        <w:rPr>
          <w:color w:val="222222"/>
          <w:shd w:val="clear" w:color="auto" w:fill="FFFFFF"/>
          <w:lang w:val="uk-UA"/>
        </w:rPr>
        <w:t xml:space="preserve"> електричних мереж, які забезпечують передачу електричної енергії безпосередньо до квартир в багатоквартирних будинках, по 2016 рік включно було віднесено до тарифу на транспортування електричної енергії для населення та відшкодовувалось обслуговуючим підприємствам обленерго. Починаючи з січня 2017 року НКРЕКП не погодила включення витрат на поточний ремонт та технічне обслуговування </w:t>
      </w:r>
      <w:proofErr w:type="spellStart"/>
      <w:r>
        <w:rPr>
          <w:color w:val="222222"/>
          <w:shd w:val="clear" w:color="auto" w:fill="FFFFFF"/>
          <w:lang w:val="uk-UA"/>
        </w:rPr>
        <w:t>внутрішньобудинкових</w:t>
      </w:r>
      <w:proofErr w:type="spellEnd"/>
      <w:r>
        <w:rPr>
          <w:color w:val="222222"/>
          <w:shd w:val="clear" w:color="auto" w:fill="FFFFFF"/>
          <w:lang w:val="uk-UA"/>
        </w:rPr>
        <w:t xml:space="preserve"> електричних мереж до тарифу на транспортування електроенергії населенню. Тому, на сьогоднішній день, в умовах не виконання технічного обслуговування та поточного ремонту, не можна забезпечити безпечну експлуатацію </w:t>
      </w:r>
      <w:proofErr w:type="spellStart"/>
      <w:r>
        <w:rPr>
          <w:color w:val="222222"/>
          <w:shd w:val="clear" w:color="auto" w:fill="FFFFFF"/>
          <w:lang w:val="uk-UA"/>
        </w:rPr>
        <w:t>внутрішньобудинкових</w:t>
      </w:r>
      <w:proofErr w:type="spellEnd"/>
      <w:r>
        <w:rPr>
          <w:color w:val="222222"/>
          <w:shd w:val="clear" w:color="auto" w:fill="FFFFFF"/>
          <w:lang w:val="uk-UA"/>
        </w:rPr>
        <w:t xml:space="preserve"> електричних мереж в багатоквартирних будинках.</w:t>
      </w:r>
    </w:p>
    <w:p w:rsidR="00F20526" w:rsidRDefault="00F20526" w:rsidP="00F20526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lastRenderedPageBreak/>
        <w:t xml:space="preserve">Відповідно до Порядку та Норм часу та матеріально-технічних ресурсів, норм обслуговування для робітників при утриманні будинків, споруд і прибудинкових територій, затвердженого наказом Міністерства регіонального розвитку, будівництва та житлово-комунального господарства України від 25.12.2013 р. № 603 (із змінами) в переліку робіт і послуг з утримання будинків, споруд та прибудинкових територій, який включено до тарифу, відсутня послуга аварійної служби. В умовах зношеності </w:t>
      </w:r>
      <w:proofErr w:type="spellStart"/>
      <w:r>
        <w:rPr>
          <w:bCs/>
          <w:lang w:val="uk-UA"/>
        </w:rPr>
        <w:t>внутрішньобудинкових</w:t>
      </w:r>
      <w:proofErr w:type="spellEnd"/>
      <w:r>
        <w:rPr>
          <w:bCs/>
          <w:lang w:val="uk-UA"/>
        </w:rPr>
        <w:t xml:space="preserve"> інженерних мереж багатоквартирних будинків (житловий фонд міста в переважній більшості збудований в 50-80 роках минулого століття) необхідне функціонування аварійної служби для забезпечення належного рівня якості житлово-комунальних послуг. </w:t>
      </w:r>
    </w:p>
    <w:p w:rsidR="00F20526" w:rsidRDefault="00F20526" w:rsidP="00F20526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На даний час відбувається реформування житлово-комунальної галузі України, яке потребує часу на приведення у відповідність та узгодження всіх нормативно-законодавчих актів. </w:t>
      </w:r>
    </w:p>
    <w:p w:rsidR="00F20526" w:rsidRDefault="00F20526" w:rsidP="00F20526">
      <w:pPr>
        <w:ind w:firstLine="708"/>
        <w:jc w:val="both"/>
        <w:rPr>
          <w:bCs/>
          <w:lang w:val="uk-UA"/>
        </w:rPr>
      </w:pPr>
      <w:r>
        <w:rPr>
          <w:bCs/>
          <w:lang w:val="uk-UA"/>
        </w:rPr>
        <w:t xml:space="preserve">Тому, виконання робіт з поточного ремонту та технічному обслуговування </w:t>
      </w:r>
      <w:proofErr w:type="spellStart"/>
      <w:r>
        <w:rPr>
          <w:bCs/>
          <w:lang w:val="uk-UA"/>
        </w:rPr>
        <w:t>внутрішньобудинкових</w:t>
      </w:r>
      <w:proofErr w:type="spellEnd"/>
      <w:r>
        <w:rPr>
          <w:bCs/>
          <w:lang w:val="uk-UA"/>
        </w:rPr>
        <w:t xml:space="preserve"> електричних мереж, локалізації аварійних ситуацій на інженерних мережах в багатоквартирних будинках за рахунок бюджетних коштів через казначейську мережу забезпечить підвищення якості житлово-комунальних послуг, зменшить аварійність інженерних мереж будинків, дозволить зберегти наявний житловий фонд міста в перехідний період проведення реформ.</w:t>
      </w:r>
    </w:p>
    <w:p w:rsidR="00F20526" w:rsidRDefault="00F20526" w:rsidP="00F20526">
      <w:pPr>
        <w:ind w:left="360" w:right="84" w:firstLine="348"/>
        <w:jc w:val="both"/>
        <w:outlineLvl w:val="0"/>
        <w:rPr>
          <w:b/>
          <w:bCs/>
          <w:lang w:val="uk-UA"/>
        </w:rPr>
      </w:pPr>
      <w:r>
        <w:rPr>
          <w:b/>
          <w:bCs/>
        </w:rPr>
        <w:t xml:space="preserve">3. Мета </w:t>
      </w:r>
      <w:proofErr w:type="spellStart"/>
      <w:r>
        <w:rPr>
          <w:b/>
          <w:bCs/>
        </w:rPr>
        <w:t>програми</w:t>
      </w:r>
      <w:proofErr w:type="spellEnd"/>
    </w:p>
    <w:p w:rsidR="00F20526" w:rsidRDefault="00F20526" w:rsidP="00F20526">
      <w:pPr>
        <w:tabs>
          <w:tab w:val="left" w:pos="284"/>
        </w:tabs>
        <w:jc w:val="both"/>
        <w:rPr>
          <w:bCs/>
          <w:lang w:val="uk-UA"/>
        </w:rPr>
      </w:pPr>
      <w:r>
        <w:rPr>
          <w:bCs/>
        </w:rPr>
        <w:t xml:space="preserve">Головною метою </w:t>
      </w:r>
      <w:proofErr w:type="spellStart"/>
      <w:proofErr w:type="gramStart"/>
      <w:r>
        <w:rPr>
          <w:bCs/>
        </w:rPr>
        <w:t>програми</w:t>
      </w:r>
      <w:proofErr w:type="spellEnd"/>
      <w:r>
        <w:rPr>
          <w:bCs/>
        </w:rPr>
        <w:t xml:space="preserve">  є</w:t>
      </w:r>
      <w:proofErr w:type="gramEnd"/>
      <w:r>
        <w:rPr>
          <w:bCs/>
          <w:lang w:val="uk-UA"/>
        </w:rPr>
        <w:t>:</w:t>
      </w:r>
    </w:p>
    <w:p w:rsidR="00F20526" w:rsidRDefault="00F20526" w:rsidP="00F2052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забезпечення умов комфортного і безпечного проживання в місті відповідно до сучасних вимог;</w:t>
      </w:r>
    </w:p>
    <w:p w:rsidR="00F20526" w:rsidRDefault="00F20526" w:rsidP="00F2052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підвищення ефективності і надійності роботи інженерних мереж багатоквартирних будинків;</w:t>
      </w:r>
    </w:p>
    <w:p w:rsidR="00F20526" w:rsidRDefault="00F20526" w:rsidP="00F2052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зниження аварійності інженерних мереж багатоквартирних будинків;</w:t>
      </w:r>
    </w:p>
    <w:p w:rsidR="00F20526" w:rsidRDefault="00F20526" w:rsidP="00F2052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забезпечення безперебійності надання житлово-комунальних послуг населенню в перехідний період проведення реформ.</w:t>
      </w:r>
    </w:p>
    <w:p w:rsidR="00F20526" w:rsidRDefault="00F20526" w:rsidP="00F20526">
      <w:pPr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4. Заходи, обґрунтування шляхів і засобів розв’язання проблеми, обсягів та джерел, фінансування, строки виконання програми її результативні показники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618"/>
        <w:gridCol w:w="1709"/>
        <w:gridCol w:w="1579"/>
        <w:gridCol w:w="1863"/>
      </w:tblGrid>
      <w:tr w:rsidR="00F20526" w:rsidTr="00F20526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</w:pPr>
            <w:r>
              <w:t>№ П/п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Перелік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заходів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</w:pPr>
            <w:proofErr w:type="spellStart"/>
            <w:r>
              <w:t>Кошториснавартість</w:t>
            </w:r>
            <w:proofErr w:type="spellEnd"/>
            <w:r>
              <w:t>,   тис. грн..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ind w:right="-57"/>
              <w:jc w:val="both"/>
            </w:pPr>
            <w:r>
              <w:t xml:space="preserve">Шляхи </w:t>
            </w:r>
            <w:proofErr w:type="spellStart"/>
            <w:r>
              <w:t>фінансування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</w:pPr>
            <w:r>
              <w:rPr>
                <w:lang w:val="uk-UA"/>
              </w:rPr>
              <w:t>Відповідальний виконавець</w:t>
            </w:r>
          </w:p>
        </w:tc>
      </w:tr>
      <w:tr w:rsidR="00F20526" w:rsidTr="00F20526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26" w:rsidRDefault="00F20526">
            <w:pPr>
              <w:jc w:val="both"/>
              <w:rPr>
                <w:b/>
                <w:bCs/>
                <w:lang w:val="uk-UA"/>
              </w:rPr>
            </w:pPr>
            <w:r>
              <w:rPr>
                <w:lang w:val="uk-UA"/>
              </w:rPr>
              <w:t xml:space="preserve">Виконання комплексу робіт по локалізації аварійних ситуацій в багатоквартирних будинках за рахунок бюджетних коштів через казначейську мережу (заробітна плата робітників аварійної бригади (в </w:t>
            </w:r>
            <w:proofErr w:type="spellStart"/>
            <w:r>
              <w:rPr>
                <w:lang w:val="uk-UA"/>
              </w:rPr>
              <w:t>міжопалювальний</w:t>
            </w:r>
            <w:proofErr w:type="spellEnd"/>
            <w:r>
              <w:rPr>
                <w:lang w:val="uk-UA"/>
              </w:rPr>
              <w:t xml:space="preserve"> період 9 </w:t>
            </w:r>
            <w:proofErr w:type="spellStart"/>
            <w:r>
              <w:rPr>
                <w:lang w:val="uk-UA"/>
              </w:rPr>
              <w:t>чол</w:t>
            </w:r>
            <w:proofErr w:type="spellEnd"/>
            <w:r>
              <w:rPr>
                <w:lang w:val="uk-UA"/>
              </w:rPr>
              <w:t xml:space="preserve">., в опалювальний період – 12 </w:t>
            </w:r>
            <w:proofErr w:type="spellStart"/>
            <w:r>
              <w:rPr>
                <w:lang w:val="uk-UA"/>
              </w:rPr>
              <w:t>чол</w:t>
            </w:r>
            <w:proofErr w:type="spellEnd"/>
            <w:r>
              <w:rPr>
                <w:lang w:val="uk-UA"/>
              </w:rPr>
              <w:t>.) -310,9 тис. грн., єдиний соціальний внесок -68,4 тис. грн., витрати на паливно-мастильні матеріали – 35,7 тис. грн.)</w:t>
            </w:r>
          </w:p>
          <w:p w:rsidR="00F20526" w:rsidRDefault="00F20526">
            <w:pPr>
              <w:jc w:val="both"/>
              <w:rPr>
                <w:lang w:val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415,0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фінансування через казначейську мережу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СЄЗ</w:t>
            </w:r>
          </w:p>
        </w:tc>
      </w:tr>
      <w:tr w:rsidR="00F20526" w:rsidTr="00F20526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Виконання комплексу робіт з поточного ремонту та технічного </w:t>
            </w:r>
            <w:r>
              <w:rPr>
                <w:lang w:val="uk-UA"/>
              </w:rPr>
              <w:lastRenderedPageBreak/>
              <w:t xml:space="preserve">обслуговування </w:t>
            </w:r>
            <w:proofErr w:type="spellStart"/>
            <w:r>
              <w:rPr>
                <w:lang w:val="uk-UA"/>
              </w:rPr>
              <w:t>внутрішньобудинкових</w:t>
            </w:r>
            <w:proofErr w:type="spellEnd"/>
            <w:r>
              <w:rPr>
                <w:lang w:val="uk-UA"/>
              </w:rPr>
              <w:t xml:space="preserve"> електричних мереж в багатоквартирних будинках за рахунок бюджетних коштів через казначейську мережу (для обслуговування та ремонту електромереж на 186 житлових будинках заробітна плата 3 електромонтерів   -85,7 тис. грн., єдиний соціальний внесок -18,9 тис. грн., витрати на матеріали – 18,0 тис. грн.)</w:t>
            </w:r>
          </w:p>
          <w:p w:rsidR="00F20526" w:rsidRDefault="00F20526">
            <w:pPr>
              <w:jc w:val="both"/>
              <w:rPr>
                <w:lang w:val="uk-U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122,6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</w:t>
            </w:r>
            <w:r>
              <w:rPr>
                <w:lang w:val="uk-UA"/>
              </w:rPr>
              <w:lastRenderedPageBreak/>
              <w:t xml:space="preserve">фінансування через казначейську мережу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КП СЄЗ</w:t>
            </w:r>
          </w:p>
        </w:tc>
      </w:tr>
      <w:tr w:rsidR="00F20526" w:rsidTr="00F20526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Забезпечення інженерно-технічним персоналом виконання комплексу робіт з поточного ремонту та технічного обслуговування </w:t>
            </w:r>
            <w:proofErr w:type="spellStart"/>
            <w:r>
              <w:rPr>
                <w:lang w:val="uk-UA"/>
              </w:rPr>
              <w:t>внутрішньобудинкових</w:t>
            </w:r>
            <w:proofErr w:type="spellEnd"/>
            <w:r>
              <w:rPr>
                <w:lang w:val="uk-UA"/>
              </w:rPr>
              <w:t xml:space="preserve"> електричних мереж в багатоквартирних будинках за рахунок бюджетних коштів через казначейську мережу у кількості 0,5 особи майстра-енергетика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24,4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 фінансування через казначейську мережу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26" w:rsidRDefault="00F20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КП СЄЗ</w:t>
            </w:r>
          </w:p>
        </w:tc>
      </w:tr>
    </w:tbl>
    <w:p w:rsidR="00F20526" w:rsidRDefault="00F20526" w:rsidP="00F20526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 xml:space="preserve">Показники затрат:  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>Витрати на локалізацію аварій  на 1 півріччя 2018 р. - 415,0 тис. грн.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 xml:space="preserve">Витрати на поточний ремонт та обслуговування </w:t>
      </w:r>
      <w:proofErr w:type="spellStart"/>
      <w:r>
        <w:rPr>
          <w:lang w:val="uk-UA"/>
        </w:rPr>
        <w:t>внутрішньобудинкоих</w:t>
      </w:r>
      <w:proofErr w:type="spellEnd"/>
      <w:r>
        <w:rPr>
          <w:lang w:val="uk-UA"/>
        </w:rPr>
        <w:t xml:space="preserve"> електромереж на 1 півріччя 2018 р. -  547,8 тис. грн.</w:t>
      </w:r>
    </w:p>
    <w:p w:rsidR="00F20526" w:rsidRDefault="00F20526" w:rsidP="00F20526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>Показники продукту: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>Кількість аварійних викликів на 1 півріччя -  1100 шт.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 xml:space="preserve">Кількість багатоповерхових будинків, на яких плануються заходи з поточного ремонту та обслуговування </w:t>
      </w:r>
      <w:proofErr w:type="spellStart"/>
      <w:r>
        <w:rPr>
          <w:lang w:val="uk-UA"/>
        </w:rPr>
        <w:t>внутрішньобудинкових</w:t>
      </w:r>
      <w:proofErr w:type="spellEnd"/>
      <w:r>
        <w:rPr>
          <w:lang w:val="uk-UA"/>
        </w:rPr>
        <w:t xml:space="preserve"> електромереж – 186 шт..</w:t>
      </w:r>
    </w:p>
    <w:p w:rsidR="00F20526" w:rsidRDefault="00F20526" w:rsidP="00F20526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>Показники ефективності: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>Середні витрати на локалізацію однієї аварії, 0,4 тис. грн.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 xml:space="preserve">Середні витрати по поточному ремонту та </w:t>
      </w:r>
      <w:proofErr w:type="spellStart"/>
      <w:r>
        <w:rPr>
          <w:lang w:val="uk-UA"/>
        </w:rPr>
        <w:t>обсл</w:t>
      </w:r>
      <w:proofErr w:type="spellEnd"/>
      <w:r>
        <w:rPr>
          <w:lang w:val="uk-UA"/>
        </w:rPr>
        <w:t>. електромереж на одного електромонтера на 1 півріччя - 49,0 тис. грн..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>Кількість житлових будинків на одного електромонтера – 62 шт.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 xml:space="preserve">Середні витрати з поточного ремонту та обслуговування </w:t>
      </w:r>
      <w:proofErr w:type="spellStart"/>
      <w:r>
        <w:rPr>
          <w:lang w:val="uk-UA"/>
        </w:rPr>
        <w:t>внутрішньобудинкових</w:t>
      </w:r>
      <w:proofErr w:type="spellEnd"/>
      <w:r>
        <w:rPr>
          <w:lang w:val="uk-UA"/>
        </w:rPr>
        <w:t xml:space="preserve"> електромереж на один житловий будинок на 1 півріччя – 0,8 тис. грн..</w:t>
      </w:r>
    </w:p>
    <w:p w:rsidR="00F20526" w:rsidRDefault="00F20526" w:rsidP="00F20526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t>Показники якості: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>динаміка кількості аварійних викликів в порівнянні з попереднім роком:</w:t>
      </w:r>
    </w:p>
    <w:p w:rsidR="00F20526" w:rsidRDefault="00F20526" w:rsidP="00F20526">
      <w:pPr>
        <w:ind w:left="720"/>
        <w:jc w:val="both"/>
        <w:rPr>
          <w:bCs/>
          <w:lang w:val="uk-UA"/>
        </w:rPr>
      </w:pPr>
      <w:r>
        <w:rPr>
          <w:bCs/>
          <w:lang w:val="uk-UA"/>
        </w:rPr>
        <w:t xml:space="preserve">2017 – (0) </w:t>
      </w:r>
      <w:proofErr w:type="spellStart"/>
      <w:r>
        <w:rPr>
          <w:bCs/>
          <w:lang w:val="uk-UA"/>
        </w:rPr>
        <w:t>вик</w:t>
      </w:r>
      <w:proofErr w:type="spellEnd"/>
      <w:r>
        <w:rPr>
          <w:bCs/>
          <w:lang w:val="uk-UA"/>
        </w:rPr>
        <w:t xml:space="preserve">. 2018 (-50) </w:t>
      </w:r>
      <w:proofErr w:type="spellStart"/>
      <w:r>
        <w:rPr>
          <w:bCs/>
          <w:lang w:val="uk-UA"/>
        </w:rPr>
        <w:t>вик</w:t>
      </w:r>
      <w:proofErr w:type="spellEnd"/>
      <w:r>
        <w:rPr>
          <w:bCs/>
          <w:lang w:val="uk-UA"/>
        </w:rPr>
        <w:t xml:space="preserve">., 2019 р. (-60) </w:t>
      </w:r>
      <w:proofErr w:type="spellStart"/>
      <w:r>
        <w:rPr>
          <w:bCs/>
          <w:lang w:val="uk-UA"/>
        </w:rPr>
        <w:t>вик</w:t>
      </w:r>
      <w:proofErr w:type="spellEnd"/>
      <w:r>
        <w:rPr>
          <w:bCs/>
          <w:lang w:val="uk-UA"/>
        </w:rPr>
        <w:t xml:space="preserve">., 2020 р. – (-70) </w:t>
      </w:r>
      <w:proofErr w:type="spellStart"/>
      <w:r>
        <w:rPr>
          <w:bCs/>
          <w:lang w:val="uk-UA"/>
        </w:rPr>
        <w:t>вик</w:t>
      </w:r>
      <w:proofErr w:type="spellEnd"/>
      <w:r>
        <w:rPr>
          <w:bCs/>
          <w:lang w:val="uk-UA"/>
        </w:rPr>
        <w:t>.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 xml:space="preserve">Питома вага житлових будинків, де виконувались роботи з поточного ремонту та технічного обслуговування </w:t>
      </w:r>
      <w:proofErr w:type="spellStart"/>
      <w:r>
        <w:rPr>
          <w:lang w:val="uk-UA"/>
        </w:rPr>
        <w:t>внутрішньобудинкових</w:t>
      </w:r>
      <w:proofErr w:type="spellEnd"/>
      <w:r>
        <w:rPr>
          <w:lang w:val="uk-UA"/>
        </w:rPr>
        <w:t xml:space="preserve"> електричних мереж, від загальної кількості будинків:</w:t>
      </w:r>
    </w:p>
    <w:p w:rsidR="00F20526" w:rsidRDefault="00F20526" w:rsidP="00F20526">
      <w:pPr>
        <w:ind w:left="720"/>
        <w:jc w:val="both"/>
        <w:rPr>
          <w:bCs/>
          <w:lang w:val="uk-UA"/>
        </w:rPr>
      </w:pPr>
      <w:r>
        <w:rPr>
          <w:bCs/>
          <w:lang w:val="uk-UA"/>
        </w:rPr>
        <w:t>2017 – 0%; 2018 - 100 %, 2019 – 100%, 2020 р. – 100%</w:t>
      </w:r>
    </w:p>
    <w:p w:rsidR="00F20526" w:rsidRDefault="00F20526" w:rsidP="00F20526">
      <w:pPr>
        <w:ind w:firstLine="720"/>
        <w:jc w:val="both"/>
        <w:rPr>
          <w:lang w:val="uk-UA"/>
        </w:rPr>
      </w:pPr>
      <w:r>
        <w:rPr>
          <w:lang w:val="uk-UA"/>
        </w:rPr>
        <w:t>Направити</w:t>
      </w:r>
      <w:r>
        <w:t xml:space="preserve"> на</w:t>
      </w:r>
      <w:r>
        <w:rPr>
          <w:lang w:val="uk-UA"/>
        </w:rPr>
        <w:t xml:space="preserve"> фінансування Програми кошти місцевого</w:t>
      </w:r>
      <w:r>
        <w:t xml:space="preserve"> бюджету в межах</w:t>
      </w:r>
      <w:r>
        <w:rPr>
          <w:lang w:val="uk-UA"/>
        </w:rPr>
        <w:t xml:space="preserve"> бюджетних призначень</w:t>
      </w:r>
      <w:r>
        <w:t xml:space="preserve"> на 2018р</w:t>
      </w:r>
      <w:r>
        <w:rPr>
          <w:lang w:val="uk-UA"/>
        </w:rPr>
        <w:t xml:space="preserve">. </w:t>
      </w:r>
    </w:p>
    <w:p w:rsidR="00F20526" w:rsidRDefault="00F20526" w:rsidP="00F20526">
      <w:pPr>
        <w:ind w:firstLine="720"/>
        <w:jc w:val="both"/>
        <w:rPr>
          <w:b/>
          <w:lang w:val="uk-UA"/>
        </w:rPr>
      </w:pPr>
      <w:r>
        <w:rPr>
          <w:b/>
          <w:lang w:val="uk-UA"/>
        </w:rPr>
        <w:lastRenderedPageBreak/>
        <w:t>5. Економічне обґрунтування потреби в бюджетних коштах</w:t>
      </w:r>
    </w:p>
    <w:tbl>
      <w:tblPr>
        <w:tblW w:w="9780" w:type="dxa"/>
        <w:tblInd w:w="91" w:type="dxa"/>
        <w:tblLook w:val="04A0" w:firstRow="1" w:lastRow="0" w:firstColumn="1" w:lastColumn="0" w:noHBand="0" w:noVBand="1"/>
      </w:tblPr>
      <w:tblGrid>
        <w:gridCol w:w="880"/>
        <w:gridCol w:w="3760"/>
        <w:gridCol w:w="855"/>
        <w:gridCol w:w="3219"/>
        <w:gridCol w:w="1200"/>
      </w:tblGrid>
      <w:tr w:rsidR="00F20526" w:rsidTr="00F20526">
        <w:trPr>
          <w:trHeight w:val="345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b/>
                <w:lang w:val="uk-UA"/>
              </w:rPr>
            </w:pPr>
          </w:p>
        </w:tc>
        <w:tc>
          <w:tcPr>
            <w:tcW w:w="376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bCs/>
                <w:color w:val="000000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Вихідні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дані</w:t>
            </w:r>
            <w:proofErr w:type="spellEnd"/>
          </w:p>
        </w:tc>
        <w:tc>
          <w:tcPr>
            <w:tcW w:w="740" w:type="dxa"/>
            <w:vAlign w:val="bottom"/>
            <w:hideMark/>
          </w:tcPr>
          <w:p w:rsidR="00F20526" w:rsidRDefault="00F20526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3200" w:type="dxa"/>
            <w:vAlign w:val="bottom"/>
            <w:hideMark/>
          </w:tcPr>
          <w:p w:rsidR="00F20526" w:rsidRDefault="00F2052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vAlign w:val="bottom"/>
            <w:hideMark/>
          </w:tcPr>
          <w:p w:rsidR="00F20526" w:rsidRDefault="00F20526">
            <w:pPr>
              <w:rPr>
                <w:sz w:val="20"/>
                <w:szCs w:val="20"/>
                <w:lang w:val="en-US" w:eastAsia="en-US"/>
              </w:rPr>
            </w:pPr>
          </w:p>
        </w:tc>
      </w:tr>
      <w:tr w:rsidR="00F20526" w:rsidTr="00F20526">
        <w:trPr>
          <w:trHeight w:val="57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7700" w:type="dxa"/>
            <w:gridSpan w:val="3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Індекс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споживчих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цін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 2018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рік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сценарій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2)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відповідно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до постанови КМУ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31.05.201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р.</w:t>
            </w:r>
          </w:p>
        </w:tc>
        <w:tc>
          <w:tcPr>
            <w:tcW w:w="120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109,70%</w:t>
            </w:r>
          </w:p>
        </w:tc>
      </w:tr>
      <w:tr w:rsidR="00F20526" w:rsidTr="00F20526">
        <w:trPr>
          <w:trHeight w:val="57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00" w:type="dxa"/>
            <w:gridSpan w:val="3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Вартість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бензину А 92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згідно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останнього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рахунку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дані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бухобліку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25,50 грн./л</w:t>
            </w:r>
          </w:p>
        </w:tc>
      </w:tr>
      <w:tr w:rsidR="00F20526" w:rsidTr="00F20526">
        <w:trPr>
          <w:trHeight w:val="57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00" w:type="dxa"/>
            <w:gridSpan w:val="3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Потреба в ПММ 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опалювальний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період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внутрішній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облік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 л/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міс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F20526" w:rsidTr="00F20526">
        <w:trPr>
          <w:trHeight w:val="60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00" w:type="dxa"/>
            <w:gridSpan w:val="3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Потреба в ПММ 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міжопалювальний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період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внутрішній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облік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 л/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міс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F20526" w:rsidRPr="00F20526" w:rsidTr="00F20526">
        <w:trPr>
          <w:trHeight w:val="57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00" w:type="dxa"/>
            <w:gridSpan w:val="3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Прожитковий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мінімум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працездатних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осіб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відповідно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до проекту ЗУ "Про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державний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бюджет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України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 2018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рік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</w:tr>
      <w:tr w:rsidR="00F20526" w:rsidTr="00F20526">
        <w:trPr>
          <w:trHeight w:val="300"/>
        </w:trPr>
        <w:tc>
          <w:tcPr>
            <w:tcW w:w="880" w:type="dxa"/>
            <w:noWrap/>
            <w:vAlign w:val="bottom"/>
            <w:hideMark/>
          </w:tcPr>
          <w:p w:rsidR="00F20526" w:rsidRPr="00F20526" w:rsidRDefault="00F205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76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 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січня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2018 р</w:t>
            </w:r>
          </w:p>
        </w:tc>
        <w:tc>
          <w:tcPr>
            <w:tcW w:w="74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00" w:type="dxa"/>
            <w:noWrap/>
            <w:vAlign w:val="bottom"/>
            <w:hideMark/>
          </w:tcPr>
          <w:p w:rsidR="00F20526" w:rsidRDefault="00F2052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1762 грн.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 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липня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2018 р</w:t>
            </w:r>
          </w:p>
        </w:tc>
        <w:tc>
          <w:tcPr>
            <w:tcW w:w="74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00" w:type="dxa"/>
            <w:noWrap/>
            <w:vAlign w:val="bottom"/>
            <w:hideMark/>
          </w:tcPr>
          <w:p w:rsidR="00F20526" w:rsidRDefault="00F2052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1841 грн.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376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з 1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грудня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2018 р.</w:t>
            </w:r>
          </w:p>
        </w:tc>
        <w:tc>
          <w:tcPr>
            <w:tcW w:w="74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3200" w:type="dxa"/>
            <w:noWrap/>
            <w:vAlign w:val="bottom"/>
            <w:hideMark/>
          </w:tcPr>
          <w:p w:rsidR="00F20526" w:rsidRDefault="00F2052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1921 грн.</w:t>
            </w:r>
          </w:p>
        </w:tc>
      </w:tr>
      <w:tr w:rsidR="00F20526" w:rsidRPr="00F20526" w:rsidTr="00F20526">
        <w:trPr>
          <w:trHeight w:val="57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7700" w:type="dxa"/>
            <w:gridSpan w:val="3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Коефіцієнти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розрахунку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посадових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окладів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тарифних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ставок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відповідно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Колективного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догвору</w:t>
            </w:r>
            <w:proofErr w:type="spellEnd"/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</w:tr>
      <w:tr w:rsidR="00F20526" w:rsidTr="00F20526">
        <w:trPr>
          <w:trHeight w:val="495"/>
        </w:trPr>
        <w:tc>
          <w:tcPr>
            <w:tcW w:w="880" w:type="dxa"/>
            <w:noWrap/>
            <w:vAlign w:val="bottom"/>
            <w:hideMark/>
          </w:tcPr>
          <w:p w:rsidR="00F20526" w:rsidRPr="00F20526" w:rsidRDefault="00F205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00" w:type="dxa"/>
            <w:gridSpan w:val="3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Галузевий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коефіцієнт</w:t>
            </w:r>
            <w:proofErr w:type="spellEnd"/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1,39</w:t>
            </w:r>
          </w:p>
        </w:tc>
      </w:tr>
      <w:tr w:rsidR="00F20526" w:rsidTr="00F20526">
        <w:trPr>
          <w:trHeight w:val="120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Коефіцієнт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першого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розряду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основного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працівника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прожиткового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мінімуму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працездатних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осіб</w:t>
            </w:r>
            <w:proofErr w:type="spellEnd"/>
          </w:p>
        </w:tc>
        <w:tc>
          <w:tcPr>
            <w:tcW w:w="74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00" w:type="dxa"/>
            <w:noWrap/>
            <w:vAlign w:val="bottom"/>
            <w:hideMark/>
          </w:tcPr>
          <w:p w:rsidR="00F20526" w:rsidRPr="00F20526" w:rsidRDefault="00F205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1,2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Коефіцієнт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розряду</w:t>
            </w:r>
            <w:proofErr w:type="spellEnd"/>
          </w:p>
        </w:tc>
        <w:tc>
          <w:tcPr>
            <w:tcW w:w="74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00" w:type="dxa"/>
            <w:noWrap/>
            <w:vAlign w:val="bottom"/>
            <w:hideMark/>
          </w:tcPr>
          <w:p w:rsidR="00F20526" w:rsidRDefault="00F2052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1,35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6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Коефіцієнт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посади/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категорії</w:t>
            </w:r>
            <w:proofErr w:type="spellEnd"/>
          </w:p>
        </w:tc>
        <w:tc>
          <w:tcPr>
            <w:tcW w:w="74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200" w:type="dxa"/>
            <w:noWrap/>
            <w:vAlign w:val="bottom"/>
            <w:hideMark/>
          </w:tcPr>
          <w:p w:rsidR="00F20526" w:rsidRDefault="00F20526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1,8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3760" w:type="dxa"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 xml:space="preserve">Матеріальні витрати на п/ремонт та </w:t>
            </w:r>
            <w:proofErr w:type="spellStart"/>
            <w:r>
              <w:rPr>
                <w:rFonts w:ascii="Calibri" w:hAnsi="Calibri"/>
                <w:color w:val="000000"/>
                <w:lang w:val="uk-UA"/>
              </w:rPr>
              <w:t>тех</w:t>
            </w:r>
            <w:proofErr w:type="spellEnd"/>
            <w:r>
              <w:rPr>
                <w:rFonts w:ascii="Calibri" w:hAnsi="Calibri"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lang w:val="uk-UA"/>
              </w:rPr>
              <w:t>обсл</w:t>
            </w:r>
            <w:proofErr w:type="spellEnd"/>
            <w:r>
              <w:rPr>
                <w:rFonts w:ascii="Calibri" w:hAnsi="Calibri"/>
                <w:color w:val="000000"/>
                <w:lang w:val="uk-UA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lang w:val="uk-UA"/>
              </w:rPr>
              <w:t>внут</w:t>
            </w:r>
            <w:proofErr w:type="spellEnd"/>
            <w:r>
              <w:rPr>
                <w:rFonts w:ascii="Calibri" w:hAnsi="Calibri"/>
                <w:color w:val="000000"/>
                <w:lang w:val="uk-UA"/>
              </w:rPr>
              <w:t xml:space="preserve"> електромереж</w:t>
            </w:r>
          </w:p>
        </w:tc>
        <w:tc>
          <w:tcPr>
            <w:tcW w:w="74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3200" w:type="dxa"/>
            <w:noWrap/>
            <w:vAlign w:val="bottom"/>
            <w:hideMark/>
          </w:tcPr>
          <w:p w:rsidR="00F20526" w:rsidRPr="00F20526" w:rsidRDefault="00F2052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16,4 тис. грн.</w:t>
            </w:r>
          </w:p>
        </w:tc>
      </w:tr>
      <w:tr w:rsidR="00F20526" w:rsidTr="00F20526">
        <w:trPr>
          <w:trHeight w:val="9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Шифр рядка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Найменування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статті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розрахунку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Один.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виміру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Розрахунок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Сума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Локалізація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аварій</w:t>
            </w:r>
            <w:proofErr w:type="spellEnd"/>
          </w:p>
        </w:tc>
      </w:tr>
      <w:tr w:rsidR="00F20526" w:rsidTr="00F20526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Матеріальні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затрати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F20526" w:rsidTr="00F20526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Паливно-мастильні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матеріали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тис. грн.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(250л/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міс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3,8м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іс.+150л/міс.*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2,2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міс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.)*25,50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/л*109,7%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35,7</w:t>
            </w:r>
          </w:p>
        </w:tc>
      </w:tr>
      <w:tr w:rsidR="00F20526" w:rsidTr="00F20526">
        <w:trPr>
          <w:trHeight w:val="6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Витрати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праці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аварійної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бригади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тис. грн.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розрахунок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310,9</w:t>
            </w:r>
          </w:p>
        </w:tc>
      </w:tr>
      <w:tr w:rsidR="00F20526" w:rsidTr="00F20526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Єдиний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соцвнесок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тис. грн.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68,4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415,0</w:t>
            </w:r>
          </w:p>
        </w:tc>
      </w:tr>
      <w:tr w:rsidR="00F20526" w:rsidRPr="00F20526" w:rsidTr="00F20526">
        <w:trPr>
          <w:trHeight w:val="300"/>
        </w:trPr>
        <w:tc>
          <w:tcPr>
            <w:tcW w:w="880" w:type="dxa"/>
            <w:noWrap/>
            <w:vAlign w:val="bottom"/>
            <w:hideMark/>
          </w:tcPr>
          <w:p w:rsidR="00F20526" w:rsidRDefault="00F20526">
            <w:pPr>
              <w:rPr>
                <w:rFonts w:ascii="Calibri" w:hAnsi="Calibri"/>
                <w:color w:val="000000"/>
                <w:lang w:val="uk-UA"/>
              </w:rPr>
            </w:pPr>
          </w:p>
        </w:tc>
        <w:tc>
          <w:tcPr>
            <w:tcW w:w="89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Поточний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ре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нт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та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технічне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обслуговування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внутрішньобудинкових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електричних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мереж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Матеріальні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затрати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16,4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тис.грн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*109,7%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18,0</w:t>
            </w:r>
          </w:p>
        </w:tc>
      </w:tr>
      <w:tr w:rsidR="00F20526" w:rsidTr="00F20526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Витрати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праці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електомонтери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розрахунок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85,7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Єдиний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соцвнесок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18,9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122,6</w:t>
            </w:r>
          </w:p>
        </w:tc>
      </w:tr>
      <w:tr w:rsidR="00F20526" w:rsidTr="00F20526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Витрати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 оплату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праці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майстер-енергетик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розрахунок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20,0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Єдиний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соцвнесок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22%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грн.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4,4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Всього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24,4</w:t>
            </w:r>
          </w:p>
        </w:tc>
      </w:tr>
      <w:tr w:rsidR="00F20526" w:rsidTr="00F20526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526" w:rsidRDefault="00F20526">
            <w:pPr>
              <w:jc w:val="both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147,0</w:t>
            </w:r>
          </w:p>
        </w:tc>
      </w:tr>
    </w:tbl>
    <w:p w:rsidR="00F20526" w:rsidRDefault="00F20526" w:rsidP="00F20526">
      <w:pPr>
        <w:jc w:val="both"/>
        <w:rPr>
          <w:b/>
          <w:bCs/>
        </w:rPr>
      </w:pPr>
      <w:r>
        <w:rPr>
          <w:b/>
          <w:bCs/>
          <w:lang w:val="uk-UA"/>
        </w:rPr>
        <w:t>6</w:t>
      </w:r>
      <w:r>
        <w:rPr>
          <w:b/>
          <w:bCs/>
        </w:rPr>
        <w:t xml:space="preserve">. </w:t>
      </w:r>
      <w:proofErr w:type="spellStart"/>
      <w:r>
        <w:rPr>
          <w:b/>
          <w:bCs/>
        </w:rPr>
        <w:t>Організація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управління</w:t>
      </w:r>
      <w:proofErr w:type="spellEnd"/>
      <w:r>
        <w:rPr>
          <w:b/>
          <w:bCs/>
        </w:rPr>
        <w:t xml:space="preserve"> та контроль за ходом </w:t>
      </w:r>
      <w:proofErr w:type="spellStart"/>
      <w:r>
        <w:rPr>
          <w:b/>
          <w:bCs/>
        </w:rPr>
        <w:t>реалізації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</w:rPr>
        <w:t>програми</w:t>
      </w:r>
      <w:proofErr w:type="spellEnd"/>
    </w:p>
    <w:p w:rsidR="00F20526" w:rsidRDefault="00F20526" w:rsidP="00F20526">
      <w:pPr>
        <w:ind w:firstLine="567"/>
        <w:jc w:val="both"/>
        <w:rPr>
          <w:lang w:val="uk-UA"/>
        </w:rPr>
      </w:pPr>
      <w:proofErr w:type="spellStart"/>
      <w:r>
        <w:t>Організація</w:t>
      </w:r>
      <w:proofErr w:type="spellEnd"/>
      <w:r>
        <w:rPr>
          <w:lang w:val="uk-UA"/>
        </w:rPr>
        <w:t xml:space="preserve"> </w:t>
      </w:r>
      <w:proofErr w:type="spellStart"/>
      <w:r>
        <w:t>виконання</w:t>
      </w:r>
      <w:proofErr w:type="spellEnd"/>
      <w:r>
        <w:rPr>
          <w:lang w:val="uk-UA"/>
        </w:rP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та контроль за </w:t>
      </w:r>
      <w:proofErr w:type="spellStart"/>
      <w:r>
        <w:t>використанням</w:t>
      </w:r>
      <w:proofErr w:type="spellEnd"/>
      <w:r>
        <w:rPr>
          <w:lang w:val="uk-UA"/>
        </w:rPr>
        <w:t xml:space="preserve"> </w:t>
      </w:r>
      <w:proofErr w:type="spellStart"/>
      <w:r>
        <w:t>коштів</w:t>
      </w:r>
      <w:proofErr w:type="spellEnd"/>
      <w:r>
        <w:rPr>
          <w:lang w:val="uk-UA"/>
        </w:rPr>
        <w:t xml:space="preserve"> </w:t>
      </w:r>
      <w:proofErr w:type="spellStart"/>
      <w:r>
        <w:t>здійснюється</w:t>
      </w:r>
      <w:proofErr w:type="spellEnd"/>
      <w:r>
        <w:rPr>
          <w:lang w:val="uk-UA"/>
        </w:rPr>
        <w:t xml:space="preserve"> </w:t>
      </w:r>
      <w:proofErr w:type="spellStart"/>
      <w:r>
        <w:t>головним</w:t>
      </w:r>
      <w:proofErr w:type="spellEnd"/>
      <w:r>
        <w:rPr>
          <w:lang w:val="uk-UA"/>
        </w:rPr>
        <w:t xml:space="preserve"> розпорядником коштів - Управлінням житлово-комунального господарства та будівництва Ніжинської міської ради</w:t>
      </w:r>
    </w:p>
    <w:p w:rsidR="00F20526" w:rsidRDefault="00F20526" w:rsidP="00F20526">
      <w:pPr>
        <w:ind w:firstLine="708"/>
        <w:jc w:val="both"/>
        <w:rPr>
          <w:lang w:val="uk-UA"/>
        </w:rPr>
      </w:pPr>
      <w:r>
        <w:rPr>
          <w:lang w:val="uk-UA"/>
        </w:rPr>
        <w:t>Учасники (співвиконавці Програми) надають звіт про виконання заходів Програми фінансово-господарському відділу управління житлово-комунального господарства та будівництва щоквартально, до 5-го числа місяця, наступного за звітним відповідно до форми затвердженої наказом Міністерства фінансів України від 26.08.2014  № 836.</w:t>
      </w:r>
    </w:p>
    <w:p w:rsidR="00F20526" w:rsidRDefault="00F20526" w:rsidP="00F20526">
      <w:pPr>
        <w:ind w:firstLine="567"/>
        <w:jc w:val="both"/>
        <w:rPr>
          <w:lang w:val="uk-UA"/>
        </w:rPr>
      </w:pPr>
      <w:r>
        <w:rPr>
          <w:lang w:val="uk-UA"/>
        </w:rPr>
        <w:t>Управління житлово-комунального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F20526" w:rsidRDefault="00F20526" w:rsidP="00F20526">
      <w:pPr>
        <w:jc w:val="both"/>
        <w:rPr>
          <w:lang w:val="uk-UA"/>
        </w:rPr>
      </w:pPr>
    </w:p>
    <w:p w:rsidR="00F20526" w:rsidRDefault="00F20526" w:rsidP="00F20526">
      <w:pPr>
        <w:jc w:val="both"/>
      </w:pPr>
      <w:r>
        <w:rPr>
          <w:lang w:val="uk-UA"/>
        </w:rPr>
        <w:t>Міський</w:t>
      </w:r>
      <w:r>
        <w:t xml:space="preserve"> голова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uk-UA"/>
        </w:rPr>
        <w:t xml:space="preserve">                                           </w:t>
      </w:r>
      <w:r>
        <w:tab/>
      </w:r>
      <w:r>
        <w:tab/>
      </w:r>
      <w:r>
        <w:rPr>
          <w:lang w:val="uk-UA"/>
        </w:rPr>
        <w:t xml:space="preserve">        </w:t>
      </w:r>
      <w:proofErr w:type="spellStart"/>
      <w:r>
        <w:t>А.В.Лінник</w:t>
      </w:r>
      <w:proofErr w:type="spellEnd"/>
    </w:p>
    <w:p w:rsidR="006E6A01" w:rsidRDefault="006E6A01">
      <w:bookmarkStart w:id="0" w:name="_GoBack"/>
      <w:bookmarkEnd w:id="0"/>
    </w:p>
    <w:sectPr w:rsidR="006E6A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12BFB"/>
    <w:multiLevelType w:val="hybridMultilevel"/>
    <w:tmpl w:val="CC569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7C"/>
    <w:rsid w:val="006E6A01"/>
    <w:rsid w:val="00A3037C"/>
    <w:rsid w:val="00F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38B786-04E0-474B-BCF8-EEEB42F2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1492</Words>
  <Characters>8510</Characters>
  <Application>Microsoft Office Word</Application>
  <DocSecurity>0</DocSecurity>
  <Lines>70</Lines>
  <Paragraphs>19</Paragraphs>
  <ScaleCrop>false</ScaleCrop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2017-12-19T10:48:00Z</dcterms:created>
  <dcterms:modified xsi:type="dcterms:W3CDTF">2017-12-19T10:48:00Z</dcterms:modified>
</cp:coreProperties>
</file>